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5A" w:rsidRPr="007835BA" w:rsidRDefault="00143F5A" w:rsidP="00143F5A">
      <w:pPr>
        <w:shd w:val="clear" w:color="auto" w:fill="FFFFFF"/>
        <w:rPr>
          <w:rFonts w:ascii="Helvetica" w:eastAsia="Times New Roman" w:hAnsi="Helvetica" w:cs="Helvetica"/>
          <w:color w:val="000000"/>
          <w:sz w:val="15"/>
          <w:szCs w:val="15"/>
          <w:lang w:val="sr-Cyrl-RS"/>
        </w:rPr>
      </w:pPr>
    </w:p>
    <w:tbl>
      <w:tblPr>
        <w:tblpPr w:leftFromText="180" w:rightFromText="180" w:vertAnchor="text" w:horzAnchor="margin" w:tblpY="113"/>
        <w:tblW w:w="4503" w:type="dxa"/>
        <w:tblLook w:val="01E0" w:firstRow="1" w:lastRow="1" w:firstColumn="1" w:lastColumn="1" w:noHBand="0" w:noVBand="0"/>
      </w:tblPr>
      <w:tblGrid>
        <w:gridCol w:w="4503"/>
      </w:tblGrid>
      <w:tr w:rsidR="00DC363C" w:rsidRPr="00950158" w:rsidTr="00DC363C">
        <w:tc>
          <w:tcPr>
            <w:tcW w:w="4503" w:type="dxa"/>
          </w:tcPr>
          <w:p w:rsidR="00DC363C" w:rsidRPr="00950158" w:rsidRDefault="00DC363C" w:rsidP="00DC363C">
            <w:pPr>
              <w:jc w:val="center"/>
            </w:pPr>
            <w:r w:rsidRPr="00950158">
              <w:rPr>
                <w:b/>
                <w:noProof/>
              </w:rPr>
              <w:drawing>
                <wp:inline distT="0" distB="0" distL="0" distR="0" wp14:anchorId="03FAFD74" wp14:editId="4ED9FC4B">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DC363C" w:rsidRPr="00214D64" w:rsidTr="00DC363C">
        <w:tc>
          <w:tcPr>
            <w:tcW w:w="4503" w:type="dxa"/>
          </w:tcPr>
          <w:p w:rsidR="00DC363C" w:rsidRPr="00214D64" w:rsidRDefault="00DC363C" w:rsidP="00DC363C">
            <w:pPr>
              <w:jc w:val="center"/>
              <w:rPr>
                <w:lang w:val="ru-RU"/>
              </w:rPr>
            </w:pPr>
            <w:r w:rsidRPr="00214D64">
              <w:rPr>
                <w:lang w:val="ru-RU"/>
              </w:rPr>
              <w:t>Република Србија</w:t>
            </w:r>
          </w:p>
          <w:p w:rsidR="00DC363C" w:rsidRPr="00214D64" w:rsidRDefault="00DC363C" w:rsidP="00DC363C">
            <w:pPr>
              <w:jc w:val="center"/>
              <w:rPr>
                <w:lang w:val="ru-RU"/>
              </w:rPr>
            </w:pPr>
            <w:r w:rsidRPr="00214D64">
              <w:rPr>
                <w:lang w:val="ru-RU"/>
              </w:rPr>
              <w:t xml:space="preserve">МИНИСТАРСТВО ТРГОВИНЕ, </w:t>
            </w:r>
          </w:p>
          <w:p w:rsidR="00DC363C" w:rsidRPr="00214D64" w:rsidRDefault="00DC363C" w:rsidP="00DC363C">
            <w:pPr>
              <w:jc w:val="center"/>
              <w:rPr>
                <w:lang w:val="ru-RU"/>
              </w:rPr>
            </w:pPr>
            <w:r w:rsidRPr="00214D64">
              <w:rPr>
                <w:lang w:val="ru-RU"/>
              </w:rPr>
              <w:t>ТУРИЗМА И ТЕЛЕКОМУНИКАЦИЈА</w:t>
            </w:r>
          </w:p>
          <w:p w:rsidR="00DC363C" w:rsidRPr="001D1838" w:rsidRDefault="00DC363C" w:rsidP="00DC363C">
            <w:pPr>
              <w:jc w:val="center"/>
              <w:rPr>
                <w:lang w:val="sr-Latn-RS"/>
              </w:rPr>
            </w:pPr>
            <w:r w:rsidRPr="00214D64">
              <w:rPr>
                <w:lang w:val="ru-RU"/>
              </w:rPr>
              <w:t xml:space="preserve">Број: </w:t>
            </w:r>
            <w:r w:rsidRPr="00214D64">
              <w:rPr>
                <w:lang w:val="sr-Cyrl-RS"/>
              </w:rPr>
              <w:t>404-02-</w:t>
            </w:r>
            <w:r w:rsidR="00040987">
              <w:rPr>
                <w:lang w:val="sr-Cyrl-RS"/>
              </w:rPr>
              <w:t>62/2016-02</w:t>
            </w:r>
          </w:p>
          <w:p w:rsidR="00DC363C" w:rsidRPr="00214D64" w:rsidRDefault="00040987" w:rsidP="00DC363C">
            <w:pPr>
              <w:jc w:val="center"/>
              <w:rPr>
                <w:lang w:val="ru-RU"/>
              </w:rPr>
            </w:pPr>
            <w:r>
              <w:t>4</w:t>
            </w:r>
            <w:r>
              <w:rPr>
                <w:lang w:val="sr-Cyrl-RS"/>
              </w:rPr>
              <w:t>.07</w:t>
            </w:r>
            <w:r w:rsidR="00DC363C" w:rsidRPr="00214D64">
              <w:rPr>
                <w:lang w:val="sr-Cyrl-RS"/>
              </w:rPr>
              <w:t>.</w:t>
            </w:r>
            <w:r>
              <w:rPr>
                <w:lang w:val="ru-RU"/>
              </w:rPr>
              <w:t>2016</w:t>
            </w:r>
            <w:r w:rsidR="00DC363C" w:rsidRPr="00214D64">
              <w:rPr>
                <w:lang w:val="ru-RU"/>
              </w:rPr>
              <w:t>. године</w:t>
            </w:r>
          </w:p>
          <w:p w:rsidR="00DC363C" w:rsidRPr="00214D64" w:rsidRDefault="00DC363C" w:rsidP="00DC363C">
            <w:pPr>
              <w:jc w:val="center"/>
              <w:rPr>
                <w:lang w:val="ru-RU"/>
              </w:rPr>
            </w:pPr>
            <w:r w:rsidRPr="00214D64">
              <w:rPr>
                <w:lang w:val="ru-RU"/>
              </w:rPr>
              <w:t>Немањина 22-26</w:t>
            </w:r>
          </w:p>
          <w:p w:rsidR="00DC363C" w:rsidRPr="00214D64" w:rsidRDefault="005431FF" w:rsidP="005431FF">
            <w:pPr>
              <w:rPr>
                <w:lang w:val="ru-RU"/>
              </w:rPr>
            </w:pPr>
            <w:r>
              <w:rPr>
                <w:lang w:val="ru-RU"/>
              </w:rPr>
              <w:t xml:space="preserve">                       </w:t>
            </w:r>
            <w:r w:rsidR="00C3286C">
              <w:rPr>
                <w:lang w:val="ru-RU"/>
              </w:rPr>
              <w:t xml:space="preserve">  </w:t>
            </w:r>
            <w:r w:rsidR="00DC363C" w:rsidRPr="00214D64">
              <w:rPr>
                <w:lang w:val="ru-RU"/>
              </w:rPr>
              <w:t>Б</w:t>
            </w:r>
            <w:r w:rsidR="00DC363C" w:rsidRPr="00214D64">
              <w:rPr>
                <w:rFonts w:ascii="CTimesRoman" w:hAnsi="CTimesRoman" w:cs="CTimesRoman"/>
                <w:lang w:val="ru-RU"/>
              </w:rPr>
              <w:t xml:space="preserve"> </w:t>
            </w:r>
            <w:r w:rsidR="00DC363C" w:rsidRPr="00214D64">
              <w:rPr>
                <w:lang w:val="ru-RU"/>
              </w:rPr>
              <w:t>е</w:t>
            </w:r>
            <w:r w:rsidR="00DC363C" w:rsidRPr="00214D64">
              <w:rPr>
                <w:rFonts w:ascii="CTimesRoman" w:hAnsi="CTimesRoman" w:cs="CTimesRoman"/>
                <w:lang w:val="ru-RU"/>
              </w:rPr>
              <w:t xml:space="preserve"> </w:t>
            </w:r>
            <w:r w:rsidR="00DC363C" w:rsidRPr="00214D64">
              <w:rPr>
                <w:lang w:val="ru-RU"/>
              </w:rPr>
              <w:t>о</w:t>
            </w:r>
            <w:r w:rsidR="00DC363C" w:rsidRPr="00214D64">
              <w:rPr>
                <w:rFonts w:ascii="CTimesRoman" w:hAnsi="CTimesRoman" w:cs="CTimesRoman"/>
                <w:lang w:val="ru-RU"/>
              </w:rPr>
              <w:t xml:space="preserve"> </w:t>
            </w:r>
            <w:r w:rsidR="00DC363C" w:rsidRPr="00214D64">
              <w:rPr>
                <w:lang w:val="ru-RU"/>
              </w:rPr>
              <w:t>г</w:t>
            </w:r>
            <w:r w:rsidR="00DC363C" w:rsidRPr="00214D64">
              <w:rPr>
                <w:rFonts w:ascii="CTimesRoman" w:hAnsi="CTimesRoman" w:cs="CTimesRoman"/>
                <w:lang w:val="ru-RU"/>
              </w:rPr>
              <w:t xml:space="preserve"> </w:t>
            </w:r>
            <w:r w:rsidR="00DC363C" w:rsidRPr="00214D64">
              <w:rPr>
                <w:lang w:val="ru-RU"/>
              </w:rPr>
              <w:t>р</w:t>
            </w:r>
            <w:r w:rsidR="00DC363C" w:rsidRPr="00214D64">
              <w:rPr>
                <w:rFonts w:ascii="CTimesRoman" w:hAnsi="CTimesRoman" w:cs="CTimesRoman"/>
                <w:lang w:val="ru-RU"/>
              </w:rPr>
              <w:t xml:space="preserve"> </w:t>
            </w:r>
            <w:r w:rsidR="00DC363C" w:rsidRPr="00214D64">
              <w:rPr>
                <w:lang w:val="ru-RU"/>
              </w:rPr>
              <w:t>а</w:t>
            </w:r>
            <w:r w:rsidR="00DC363C" w:rsidRPr="00214D64">
              <w:rPr>
                <w:rFonts w:ascii="CTimesRoman" w:hAnsi="CTimesRoman" w:cs="CTimesRoman"/>
                <w:lang w:val="ru-RU"/>
              </w:rPr>
              <w:t xml:space="preserve"> </w:t>
            </w:r>
            <w:r w:rsidR="00DC363C" w:rsidRPr="00214D64">
              <w:rPr>
                <w:lang w:val="ru-RU"/>
              </w:rPr>
              <w:t>д</w:t>
            </w:r>
          </w:p>
        </w:tc>
      </w:tr>
    </w:tbl>
    <w:p w:rsidR="00DC363C" w:rsidRPr="00C14FF2" w:rsidRDefault="00DC363C" w:rsidP="00DC363C">
      <w:pPr>
        <w:rPr>
          <w:rFonts w:ascii="Calibri" w:hAnsi="Calibri"/>
          <w:color w:val="1F497D"/>
          <w:sz w:val="22"/>
          <w:szCs w:val="22"/>
          <w:lang w:val="sr-Cyrl-RS"/>
        </w:rPr>
      </w:pPr>
    </w:p>
    <w:p w:rsidR="00DC363C" w:rsidRPr="00950158" w:rsidRDefault="00DC363C" w:rsidP="00DC363C">
      <w:pPr>
        <w:rPr>
          <w:rFonts w:eastAsia="Times New Roman"/>
          <w:lang w:val="sr-Cyrl-CS"/>
        </w:rPr>
      </w:pPr>
    </w:p>
    <w:p w:rsidR="00DC363C" w:rsidRPr="00950158" w:rsidRDefault="00DC363C" w:rsidP="00DC363C">
      <w:pPr>
        <w:rPr>
          <w:rFonts w:eastAsia="Times New Roman"/>
          <w:lang w:val="sr-Cyrl-CS"/>
        </w:rPr>
      </w:pPr>
    </w:p>
    <w:p w:rsidR="00DC363C" w:rsidRDefault="00DC363C" w:rsidP="00DC363C">
      <w:pPr>
        <w:rPr>
          <w:rFonts w:eastAsia="Times New Roman"/>
          <w:b/>
          <w:lang w:val="sr-Cyrl-RS"/>
        </w:rPr>
      </w:pPr>
    </w:p>
    <w:p w:rsidR="00DC363C" w:rsidRPr="00950158" w:rsidRDefault="00DC363C" w:rsidP="00DC363C">
      <w:pPr>
        <w:ind w:left="1080" w:firstLine="360"/>
        <w:rPr>
          <w:rFonts w:eastAsia="Times New Roman"/>
          <w:b/>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Pr="00127E74" w:rsidRDefault="00DC363C" w:rsidP="00DC363C">
      <w:pPr>
        <w:jc w:val="center"/>
        <w:rPr>
          <w:b/>
          <w:sz w:val="28"/>
          <w:szCs w:val="28"/>
          <w:lang w:val="sr-Cyrl-RS"/>
        </w:rPr>
      </w:pPr>
      <w:r w:rsidRPr="00127E74">
        <w:rPr>
          <w:b/>
          <w:sz w:val="28"/>
          <w:szCs w:val="28"/>
          <w:lang w:val="sr-Cyrl-RS"/>
        </w:rPr>
        <w:t>Одговор</w:t>
      </w:r>
      <w:r>
        <w:rPr>
          <w:b/>
          <w:sz w:val="28"/>
          <w:szCs w:val="28"/>
          <w:lang w:val="sr-Cyrl-RS"/>
        </w:rPr>
        <w:t xml:space="preserve"> 1</w:t>
      </w:r>
      <w:r w:rsidRPr="00127E74">
        <w:rPr>
          <w:b/>
          <w:sz w:val="28"/>
          <w:szCs w:val="28"/>
          <w:lang w:val="sr-Cyrl-RS"/>
        </w:rPr>
        <w:t xml:space="preserve"> на захтев за додатне и</w:t>
      </w:r>
      <w:r>
        <w:rPr>
          <w:b/>
          <w:sz w:val="28"/>
          <w:szCs w:val="28"/>
          <w:lang w:val="sr-Cyrl-RS"/>
        </w:rPr>
        <w:t xml:space="preserve">нформације или појашњења у вези </w:t>
      </w:r>
      <w:r w:rsidRPr="00127E74">
        <w:rPr>
          <w:b/>
          <w:sz w:val="28"/>
          <w:szCs w:val="28"/>
          <w:lang w:val="sr-Cyrl-RS"/>
        </w:rPr>
        <w:t>са</w:t>
      </w:r>
      <w:r>
        <w:rPr>
          <w:b/>
          <w:sz w:val="28"/>
          <w:szCs w:val="28"/>
          <w:lang w:val="sr-Cyrl-RS"/>
        </w:rPr>
        <w:t xml:space="preserve"> </w:t>
      </w:r>
      <w:r w:rsidRPr="00127E74">
        <w:rPr>
          <w:b/>
          <w:sz w:val="28"/>
          <w:szCs w:val="28"/>
          <w:lang w:val="sr-Cyrl-RS"/>
        </w:rPr>
        <w:t>припремањем понуде</w:t>
      </w:r>
    </w:p>
    <w:p w:rsidR="00DC363C" w:rsidRDefault="00DC363C" w:rsidP="00DC363C">
      <w:pPr>
        <w:jc w:val="center"/>
        <w:rPr>
          <w:b/>
          <w:lang w:val="sr-Cyrl-RS"/>
        </w:rPr>
      </w:pPr>
    </w:p>
    <w:p w:rsidR="00931D55" w:rsidRDefault="00DC363C" w:rsidP="00DC363C">
      <w:pPr>
        <w:jc w:val="both"/>
        <w:rPr>
          <w:b/>
          <w:lang w:val="sr-Cyrl-RS"/>
        </w:rPr>
      </w:pPr>
      <w:r>
        <w:rPr>
          <w:b/>
          <w:lang w:val="sr-Cyrl-RS"/>
        </w:rPr>
        <w:tab/>
      </w:r>
    </w:p>
    <w:p w:rsidR="005A0EF1" w:rsidRDefault="00931D55" w:rsidP="00DC363C">
      <w:pPr>
        <w:jc w:val="both"/>
        <w:rPr>
          <w:lang w:val="sr-Latn-RS"/>
        </w:rPr>
      </w:pPr>
      <w:r>
        <w:rPr>
          <w:b/>
          <w:lang w:val="sr-Cyrl-RS"/>
        </w:rPr>
        <w:tab/>
      </w:r>
      <w:r w:rsidR="00DC363C" w:rsidRPr="00EA3965">
        <w:rPr>
          <w:lang w:val="sr-Cyrl-RS"/>
        </w:rPr>
        <w:t>У с</w:t>
      </w:r>
      <w:r w:rsidR="00DC363C">
        <w:rPr>
          <w:lang w:val="sr-Cyrl-RS"/>
        </w:rPr>
        <w:t>кладу са чланом 63. став 3. Закона о јавним набавкама („Службени гласник РС” број 124/1</w:t>
      </w:r>
      <w:r w:rsidR="00DC363C">
        <w:t xml:space="preserve">2, </w:t>
      </w:r>
      <w:r w:rsidR="00DC363C">
        <w:rPr>
          <w:lang w:val="sr-Cyrl-RS"/>
        </w:rPr>
        <w:t>14/15</w:t>
      </w:r>
      <w:r w:rsidR="00DC363C">
        <w:t xml:space="preserve"> </w:t>
      </w:r>
      <w:r w:rsidR="00DC363C">
        <w:rPr>
          <w:lang w:val="sr-Cyrl-RS"/>
        </w:rPr>
        <w:t xml:space="preserve">и 68/15) достављамо вам </w:t>
      </w:r>
      <w:r w:rsidR="00DC363C" w:rsidRPr="00C14FF2">
        <w:rPr>
          <w:b/>
          <w:lang w:val="sr-Cyrl-RS"/>
        </w:rPr>
        <w:t xml:space="preserve"> Одговор </w:t>
      </w:r>
      <w:r w:rsidR="00DC363C">
        <w:rPr>
          <w:b/>
          <w:lang w:val="sr-Cyrl-RS"/>
        </w:rPr>
        <w:t>1</w:t>
      </w:r>
      <w:r w:rsidR="00DC363C">
        <w:rPr>
          <w:b/>
        </w:rPr>
        <w:t xml:space="preserve"> </w:t>
      </w:r>
      <w:r w:rsidR="00DC363C">
        <w:rPr>
          <w:lang w:val="sr-Cyrl-RS"/>
        </w:rPr>
        <w:t xml:space="preserve">на захтев за додатним информацијама или појашњењима у вези са припремањем понуде за јавну набавку </w:t>
      </w:r>
      <w:r w:rsidR="00DD2728">
        <w:rPr>
          <w:lang w:val="sr-Cyrl-RS"/>
        </w:rPr>
        <w:t>''Набавка авио карата и хотелског смештаја (по партијама)</w:t>
      </w:r>
      <w:r w:rsidR="00DC363C">
        <w:rPr>
          <w:lang w:val="sr-Cyrl-RS"/>
        </w:rPr>
        <w:t>''</w:t>
      </w:r>
      <w:r w:rsidR="00DD2728">
        <w:rPr>
          <w:lang w:val="sr-Cyrl-RS"/>
        </w:rPr>
        <w:t>, ЈН О-16/2016</w:t>
      </w:r>
    </w:p>
    <w:p w:rsidR="005A0EF1" w:rsidRDefault="005A0EF1" w:rsidP="00DC363C">
      <w:pPr>
        <w:jc w:val="both"/>
        <w:rPr>
          <w:lang w:val="sr-Latn-RS"/>
        </w:rPr>
      </w:pPr>
    </w:p>
    <w:p w:rsidR="00143F5A" w:rsidRPr="00576D32" w:rsidRDefault="00143F5A" w:rsidP="00576D32">
      <w:pPr>
        <w:jc w:val="both"/>
        <w:rPr>
          <w:rFonts w:eastAsia="Times New Roman"/>
          <w:lang w:val="sr-Cyrl-RS"/>
        </w:rPr>
      </w:pPr>
    </w:p>
    <w:p w:rsidR="00143F5A" w:rsidRDefault="00143F5A" w:rsidP="00143F5A">
      <w:pPr>
        <w:shd w:val="clear" w:color="auto" w:fill="FFFFFF"/>
        <w:rPr>
          <w:rFonts w:ascii="Helvetica" w:eastAsia="Times New Roman" w:hAnsi="Helvetica" w:cs="Helvetica"/>
          <w:color w:val="000000"/>
          <w:sz w:val="15"/>
          <w:szCs w:val="15"/>
        </w:rPr>
      </w:pPr>
    </w:p>
    <w:p w:rsidR="00565B03" w:rsidRDefault="00565B03" w:rsidP="00565B03">
      <w:pPr>
        <w:tabs>
          <w:tab w:val="left" w:pos="284"/>
        </w:tabs>
        <w:jc w:val="both"/>
        <w:rPr>
          <w:kern w:val="16"/>
          <w:lang w:val="sr-Cyrl-RS"/>
        </w:rPr>
      </w:pPr>
      <w:r w:rsidRPr="00463BAC">
        <w:rPr>
          <w:kern w:val="16"/>
          <w:highlight w:val="lightGray"/>
          <w:lang w:val="sr-Cyrl-RS"/>
        </w:rPr>
        <w:t>ПИТАЊЕ 1:</w:t>
      </w:r>
      <w:r>
        <w:rPr>
          <w:kern w:val="16"/>
          <w:lang w:val="sr-Cyrl-RS"/>
        </w:rPr>
        <w:t xml:space="preserve"> </w:t>
      </w:r>
      <w:r w:rsidR="00C63729">
        <w:rPr>
          <w:kern w:val="16"/>
          <w:lang w:val="sr-Latn-RS"/>
        </w:rPr>
        <w:t xml:space="preserve"> </w:t>
      </w:r>
      <w:r w:rsidR="00471246">
        <w:rPr>
          <w:kern w:val="16"/>
          <w:lang w:val="sr-Cyrl-RS"/>
        </w:rPr>
        <w:t>У конкурсној</w:t>
      </w:r>
      <w:r w:rsidR="00F5123D">
        <w:rPr>
          <w:kern w:val="16"/>
          <w:lang w:val="sr-Cyrl-RS"/>
        </w:rPr>
        <w:t xml:space="preserve"> документацији сте као резервни критеријум за доделу уговора навели: </w:t>
      </w:r>
    </w:p>
    <w:p w:rsidR="00F5123D" w:rsidRDefault="00F5123D" w:rsidP="00565B03">
      <w:pPr>
        <w:tabs>
          <w:tab w:val="left" w:pos="284"/>
        </w:tabs>
        <w:jc w:val="both"/>
        <w:rPr>
          <w:kern w:val="16"/>
          <w:lang w:val="sr-Cyrl-RS"/>
        </w:rPr>
      </w:pPr>
      <w:r>
        <w:rPr>
          <w:kern w:val="16"/>
          <w:lang w:val="sr-Cyrl-RS"/>
        </w:rPr>
        <w:tab/>
        <w:t>''Уколико две или више понуда за неку партију и по овом критеријуму буду једнаке, критеријум за доделу уговора је већа укупна актива (АОП 071), исказан у годишњем финансијском извештају за 2015. годину.''</w:t>
      </w:r>
    </w:p>
    <w:p w:rsidR="00F5123D" w:rsidRDefault="00F5123D" w:rsidP="00565B03">
      <w:pPr>
        <w:tabs>
          <w:tab w:val="left" w:pos="284"/>
        </w:tabs>
        <w:jc w:val="both"/>
        <w:rPr>
          <w:kern w:val="16"/>
          <w:lang w:val="sr-Cyrl-RS"/>
        </w:rPr>
      </w:pPr>
      <w:r>
        <w:rPr>
          <w:kern w:val="16"/>
          <w:lang w:val="sr-Cyrl-RS"/>
        </w:rPr>
        <w:tab/>
        <w:t xml:space="preserve">Самим тим сте јасно прекршили Закон о јавним набавкама и то члан 85. став 4. у коме </w:t>
      </w:r>
      <w:proofErr w:type="spellStart"/>
      <w:r>
        <w:rPr>
          <w:kern w:val="16"/>
          <w:lang w:val="sr-Cyrl-RS"/>
        </w:rPr>
        <w:t>децидно</w:t>
      </w:r>
      <w:proofErr w:type="spellEnd"/>
      <w:r>
        <w:rPr>
          <w:kern w:val="16"/>
          <w:lang w:val="sr-Cyrl-RS"/>
        </w:rPr>
        <w:t xml:space="preserve"> пише: ''Услови за учешће из чл. 75. и 76. овог закона не могу бити одређени као елемент критеријума.''</w:t>
      </w:r>
    </w:p>
    <w:p w:rsidR="00F5123D" w:rsidRDefault="00F5123D" w:rsidP="00565B03">
      <w:pPr>
        <w:tabs>
          <w:tab w:val="left" w:pos="284"/>
        </w:tabs>
        <w:jc w:val="both"/>
        <w:rPr>
          <w:kern w:val="16"/>
          <w:lang w:val="sr-Cyrl-RS"/>
        </w:rPr>
      </w:pPr>
      <w:r>
        <w:rPr>
          <w:kern w:val="16"/>
          <w:lang w:val="sr-Cyrl-RS"/>
        </w:rPr>
        <w:tab/>
        <w:t>Већа укупна актива (АОП 071) припада додатним условима у складу са чланом 76. став 2. ЗЈН.</w:t>
      </w:r>
    </w:p>
    <w:p w:rsidR="00F5123D" w:rsidRDefault="00F5123D" w:rsidP="00565B03">
      <w:pPr>
        <w:tabs>
          <w:tab w:val="left" w:pos="284"/>
        </w:tabs>
        <w:jc w:val="both"/>
        <w:rPr>
          <w:kern w:val="16"/>
          <w:lang w:val="sr-Cyrl-RS"/>
        </w:rPr>
      </w:pPr>
      <w:r>
        <w:rPr>
          <w:kern w:val="16"/>
          <w:lang w:val="sr-Cyrl-RS"/>
        </w:rPr>
        <w:tab/>
        <w:t xml:space="preserve">''Наручилац у конкурсној документацији одређује додатне услове за учешће у поступку јавне набавке у погледу финансијског, пословног, техничком и кадровског капацитета увек када је то </w:t>
      </w:r>
      <w:r w:rsidR="005F0208">
        <w:rPr>
          <w:kern w:val="16"/>
          <w:lang w:val="sr-Cyrl-RS"/>
        </w:rPr>
        <w:t>потребно имајући у виду предмет јавне набавке.''</w:t>
      </w:r>
    </w:p>
    <w:p w:rsidR="005F0208" w:rsidRDefault="005F0208" w:rsidP="00565B03">
      <w:pPr>
        <w:tabs>
          <w:tab w:val="left" w:pos="284"/>
        </w:tabs>
        <w:jc w:val="both"/>
        <w:rPr>
          <w:kern w:val="16"/>
          <w:lang w:val="sr-Cyrl-RS"/>
        </w:rPr>
      </w:pPr>
      <w:r>
        <w:rPr>
          <w:kern w:val="16"/>
          <w:lang w:val="sr-Cyrl-RS"/>
        </w:rPr>
        <w:tab/>
        <w:t>Из претходно реченог је потпуно потврђен прекршај ЗЈН да оно што може бити додатни услов (АОП 071) не може бити критеријум за доделу уговора.</w:t>
      </w:r>
    </w:p>
    <w:p w:rsidR="005F0208" w:rsidRPr="00471246" w:rsidRDefault="005F0208" w:rsidP="00565B03">
      <w:pPr>
        <w:tabs>
          <w:tab w:val="left" w:pos="284"/>
        </w:tabs>
        <w:jc w:val="both"/>
        <w:rPr>
          <w:kern w:val="16"/>
          <w:lang w:val="sr-Cyrl-RS"/>
        </w:rPr>
      </w:pPr>
      <w:r>
        <w:rPr>
          <w:kern w:val="16"/>
          <w:lang w:val="sr-Cyrl-RS"/>
        </w:rPr>
        <w:tab/>
        <w:t>У складу са наведеним замолили бисмо за измене конкурсне документације јер постоји потпун закон</w:t>
      </w:r>
      <w:r w:rsidR="00173FDD">
        <w:rPr>
          <w:kern w:val="16"/>
          <w:lang w:val="sr-Cyrl-RS"/>
        </w:rPr>
        <w:t>ски основ за у</w:t>
      </w:r>
      <w:r>
        <w:rPr>
          <w:kern w:val="16"/>
          <w:lang w:val="sr-Cyrl-RS"/>
        </w:rPr>
        <w:t>лагање захтева за заштиту понуђача.</w:t>
      </w:r>
    </w:p>
    <w:p w:rsidR="00576D32" w:rsidRPr="00576D32" w:rsidRDefault="00576D32" w:rsidP="00565B03">
      <w:pPr>
        <w:tabs>
          <w:tab w:val="left" w:pos="284"/>
        </w:tabs>
        <w:jc w:val="both"/>
        <w:rPr>
          <w:kern w:val="16"/>
          <w:lang w:val="sr-Latn-RS"/>
        </w:rPr>
      </w:pPr>
    </w:p>
    <w:p w:rsidR="00565B03" w:rsidRDefault="00565B03" w:rsidP="00565B03">
      <w:pPr>
        <w:tabs>
          <w:tab w:val="left" w:pos="284"/>
        </w:tabs>
        <w:jc w:val="both"/>
        <w:rPr>
          <w:kern w:val="16"/>
          <w:lang w:val="sr-Cyrl-RS"/>
        </w:rPr>
      </w:pPr>
      <w:r w:rsidRPr="00463BAC">
        <w:rPr>
          <w:kern w:val="16"/>
          <w:highlight w:val="lightGray"/>
          <w:lang w:val="sr-Cyrl-RS"/>
        </w:rPr>
        <w:t>ОДГОВОР 1:</w:t>
      </w:r>
      <w:r>
        <w:rPr>
          <w:kern w:val="16"/>
          <w:lang w:val="sr-Cyrl-RS"/>
        </w:rPr>
        <w:t xml:space="preserve"> </w:t>
      </w:r>
      <w:r w:rsidR="00576D32">
        <w:rPr>
          <w:kern w:val="16"/>
          <w:lang w:val="sr-Cyrl-RS"/>
        </w:rPr>
        <w:t>Наручилац је у конкурсној документацији одредио елемент крите</w:t>
      </w:r>
      <w:r w:rsidR="005D3F10">
        <w:rPr>
          <w:kern w:val="16"/>
          <w:lang w:val="sr-Cyrl-RS"/>
        </w:rPr>
        <w:t>ријума за доделу уговора најнижа</w:t>
      </w:r>
      <w:r w:rsidR="003A348D">
        <w:rPr>
          <w:kern w:val="16"/>
          <w:lang w:val="sr-Cyrl-RS"/>
        </w:rPr>
        <w:t xml:space="preserve"> понуђена цена</w:t>
      </w:r>
      <w:r w:rsidR="00576D32">
        <w:rPr>
          <w:kern w:val="16"/>
          <w:lang w:val="sr-Cyrl-RS"/>
        </w:rPr>
        <w:t>. У конкурсној документацији као додатни услови за учешће</w:t>
      </w:r>
      <w:r w:rsidR="0053029A">
        <w:rPr>
          <w:kern w:val="16"/>
          <w:lang w:val="sr-Cyrl-RS"/>
        </w:rPr>
        <w:t xml:space="preserve"> у поступку према члану 76. ЗЈН </w:t>
      </w:r>
      <w:r w:rsidR="0053029A" w:rsidRPr="00012C86">
        <w:rPr>
          <w:kern w:val="16"/>
          <w:u w:val="single"/>
          <w:lang w:val="sr-Cyrl-RS"/>
        </w:rPr>
        <w:t>АОП 071 није одређен као додатни услов.</w:t>
      </w:r>
      <w:r w:rsidR="0053029A">
        <w:rPr>
          <w:kern w:val="16"/>
          <w:lang w:val="sr-Cyrl-RS"/>
        </w:rPr>
        <w:t xml:space="preserve"> Сходно </w:t>
      </w:r>
      <w:r w:rsidR="00997392">
        <w:rPr>
          <w:kern w:val="16"/>
          <w:lang w:val="sr-Cyrl-RS"/>
        </w:rPr>
        <w:t>''</w:t>
      </w:r>
      <w:r w:rsidR="0053029A">
        <w:rPr>
          <w:kern w:val="16"/>
          <w:lang w:val="sr-Cyrl-RS"/>
        </w:rPr>
        <w:t>Коментару измењеног и допуњеног закона о јавним набавкама</w:t>
      </w:r>
      <w:r w:rsidR="00997392">
        <w:rPr>
          <w:kern w:val="16"/>
          <w:lang w:val="sr-Cyrl-RS"/>
        </w:rPr>
        <w:t>''</w:t>
      </w:r>
      <w:r w:rsidR="0053029A">
        <w:rPr>
          <w:kern w:val="16"/>
          <w:lang w:val="sr-Cyrl-RS"/>
        </w:rPr>
        <w:t xml:space="preserve"> издавача </w:t>
      </w:r>
      <w:proofErr w:type="spellStart"/>
      <w:r w:rsidR="0053029A">
        <w:rPr>
          <w:kern w:val="16"/>
          <w:lang w:val="sr-Latn-RS"/>
        </w:rPr>
        <w:t>PublicAktiv</w:t>
      </w:r>
      <w:proofErr w:type="spellEnd"/>
      <w:r w:rsidR="00997392">
        <w:rPr>
          <w:kern w:val="16"/>
          <w:lang w:val="sr-Cyrl-RS"/>
        </w:rPr>
        <w:t>,</w:t>
      </w:r>
      <w:r w:rsidR="0053029A">
        <w:rPr>
          <w:kern w:val="16"/>
          <w:lang w:val="sr-Latn-RS"/>
        </w:rPr>
        <w:t xml:space="preserve"> </w:t>
      </w:r>
      <w:r w:rsidR="0053029A">
        <w:rPr>
          <w:kern w:val="16"/>
          <w:lang w:val="sr-Cyrl-RS"/>
        </w:rPr>
        <w:t>а у вези са чланом 85. став 4. ЗЈН</w:t>
      </w:r>
      <w:r w:rsidR="00997392">
        <w:rPr>
          <w:kern w:val="16"/>
          <w:lang w:val="sr-Cyrl-RS"/>
        </w:rPr>
        <w:t>,</w:t>
      </w:r>
      <w:r w:rsidR="0053029A">
        <w:rPr>
          <w:kern w:val="16"/>
          <w:lang w:val="sr-Cyrl-RS"/>
        </w:rPr>
        <w:t xml:space="preserve"> оно што би по природи могло да буде додатни услов, а наручилац га </w:t>
      </w:r>
      <w:r w:rsidR="00997392">
        <w:rPr>
          <w:kern w:val="16"/>
          <w:lang w:val="sr-Cyrl-RS"/>
        </w:rPr>
        <w:t>није одредио</w:t>
      </w:r>
      <w:r w:rsidR="0053029A">
        <w:rPr>
          <w:kern w:val="16"/>
          <w:lang w:val="sr-Cyrl-RS"/>
        </w:rPr>
        <w:t xml:space="preserve"> као додатни услов, може бити елемент критеријума.</w:t>
      </w:r>
    </w:p>
    <w:p w:rsidR="0053029A" w:rsidRPr="0053029A" w:rsidRDefault="00997392" w:rsidP="00565B03">
      <w:pPr>
        <w:tabs>
          <w:tab w:val="left" w:pos="284"/>
        </w:tabs>
        <w:jc w:val="both"/>
        <w:rPr>
          <w:kern w:val="16"/>
          <w:lang w:val="sr-Cyrl-RS"/>
        </w:rPr>
      </w:pPr>
      <w:r>
        <w:rPr>
          <w:kern w:val="16"/>
          <w:lang w:val="sr-Cyrl-RS"/>
        </w:rPr>
        <w:tab/>
      </w:r>
      <w:r w:rsidR="0053029A">
        <w:rPr>
          <w:kern w:val="16"/>
          <w:lang w:val="sr-Cyrl-RS"/>
        </w:rPr>
        <w:t>У складу са горе наведеним наручилац сматра да није извршио повреду члана 85. став 4. ЗЈН.</w:t>
      </w:r>
    </w:p>
    <w:p w:rsidR="00576D32" w:rsidRDefault="00576D32" w:rsidP="00565B03">
      <w:pPr>
        <w:tabs>
          <w:tab w:val="left" w:pos="284"/>
        </w:tabs>
        <w:jc w:val="both"/>
        <w:rPr>
          <w:kern w:val="16"/>
          <w:lang w:val="sr-Cyrl-RS"/>
        </w:rPr>
      </w:pPr>
    </w:p>
    <w:p w:rsidR="00576D32" w:rsidRDefault="00576D32" w:rsidP="00565B03">
      <w:pPr>
        <w:tabs>
          <w:tab w:val="left" w:pos="284"/>
        </w:tabs>
        <w:jc w:val="both"/>
        <w:rPr>
          <w:kern w:val="16"/>
          <w:lang w:val="sr-Cyrl-RS"/>
        </w:rPr>
      </w:pPr>
    </w:p>
    <w:p w:rsidR="00565B03" w:rsidRDefault="00565B03" w:rsidP="00565B03">
      <w:pPr>
        <w:tabs>
          <w:tab w:val="left" w:pos="284"/>
        </w:tabs>
        <w:jc w:val="both"/>
        <w:rPr>
          <w:kern w:val="16"/>
          <w:lang w:val="sr-Cyrl-RS"/>
        </w:rPr>
      </w:pPr>
      <w:r w:rsidRPr="00463BAC">
        <w:rPr>
          <w:kern w:val="16"/>
          <w:highlight w:val="lightGray"/>
          <w:lang w:val="sr-Cyrl-RS"/>
        </w:rPr>
        <w:t>ПИТАЊЕ 2:</w:t>
      </w:r>
      <w:r>
        <w:rPr>
          <w:kern w:val="16"/>
          <w:lang w:val="sr-Cyrl-RS"/>
        </w:rPr>
        <w:t xml:space="preserve"> </w:t>
      </w:r>
      <w:r w:rsidR="00EB41A7">
        <w:rPr>
          <w:kern w:val="16"/>
          <w:lang w:val="sr-Cyrl-RS"/>
        </w:rPr>
        <w:t>Резервни критеријум (укупна актива у 2015. години) супротан је Закону о јавним набавкама. Овако одређен елемент критеријума није у складу са чланом 84. став 2</w:t>
      </w:r>
      <w:r w:rsidR="003F07F0">
        <w:rPr>
          <w:kern w:val="16"/>
          <w:lang w:val="sr-Cyrl-RS"/>
        </w:rPr>
        <w:t>.</w:t>
      </w:r>
      <w:r w:rsidR="00EB41A7">
        <w:rPr>
          <w:kern w:val="16"/>
          <w:lang w:val="sr-Cyrl-RS"/>
        </w:rPr>
        <w:t xml:space="preserve"> Закона о јавним набавкама, односно не стоји у логичкој вези са предметом јавне набавке.</w:t>
      </w:r>
    </w:p>
    <w:p w:rsidR="00EB41A7" w:rsidRDefault="00EB41A7" w:rsidP="00565B03">
      <w:pPr>
        <w:tabs>
          <w:tab w:val="left" w:pos="284"/>
        </w:tabs>
        <w:jc w:val="both"/>
        <w:rPr>
          <w:kern w:val="16"/>
          <w:lang w:val="sr-Cyrl-RS"/>
        </w:rPr>
      </w:pPr>
      <w:r>
        <w:rPr>
          <w:kern w:val="16"/>
          <w:lang w:val="sr-Cyrl-RS"/>
        </w:rPr>
        <w:tab/>
        <w:t>Овим резервним критеријумом (укупна актива у 2015. години)</w:t>
      </w:r>
      <w:r w:rsidR="00A163AF">
        <w:rPr>
          <w:kern w:val="16"/>
          <w:lang w:val="sr-Cyrl-RS"/>
        </w:rPr>
        <w:t xml:space="preserve"> сви понуђачи у старту немају једнак положај. Молимо вас да извршите измену конкурсне документације, исправите наведене неправилности, у складу са Законом о јавним набавкама и начелним ставовима Републичке комисије, у супротном бићемо приморани да уложимо Захтев за заштиту права.</w:t>
      </w:r>
    </w:p>
    <w:p w:rsidR="0053029A" w:rsidRDefault="0053029A" w:rsidP="00565B03">
      <w:pPr>
        <w:tabs>
          <w:tab w:val="left" w:pos="284"/>
        </w:tabs>
        <w:jc w:val="both"/>
        <w:rPr>
          <w:kern w:val="16"/>
        </w:rPr>
      </w:pPr>
    </w:p>
    <w:p w:rsidR="00197EB9" w:rsidRDefault="00565B03" w:rsidP="00565B03">
      <w:pPr>
        <w:tabs>
          <w:tab w:val="left" w:pos="284"/>
        </w:tabs>
        <w:jc w:val="both"/>
        <w:rPr>
          <w:kern w:val="16"/>
          <w:lang w:val="sr-Cyrl-RS"/>
        </w:rPr>
      </w:pPr>
      <w:r w:rsidRPr="00463BAC">
        <w:rPr>
          <w:kern w:val="16"/>
          <w:highlight w:val="lightGray"/>
          <w:lang w:val="sr-Cyrl-RS"/>
        </w:rPr>
        <w:t>ОДГОВОР 2:</w:t>
      </w:r>
      <w:r w:rsidR="00463BAC">
        <w:rPr>
          <w:kern w:val="16"/>
          <w:lang w:val="sr-Cyrl-RS"/>
        </w:rPr>
        <w:t xml:space="preserve"> </w:t>
      </w:r>
      <w:r w:rsidR="00B6719B">
        <w:rPr>
          <w:kern w:val="16"/>
          <w:lang w:val="sr-Cyrl-RS"/>
        </w:rPr>
        <w:t>Члан 84. став 2. одређује да елементи критеријума на основу к</w:t>
      </w:r>
      <w:r w:rsidR="003F07F0">
        <w:rPr>
          <w:kern w:val="16"/>
          <w:lang w:val="sr-Cyrl-RS"/>
        </w:rPr>
        <w:t>о</w:t>
      </w:r>
      <w:r w:rsidR="00B6719B">
        <w:rPr>
          <w:kern w:val="16"/>
          <w:lang w:val="sr-Cyrl-RS"/>
        </w:rPr>
        <w:t>јих наручилац додељује уговоре морају бити описани и вредновани, не смеју бити дискриминаторски и морају стајати у логичкој вези са предметом јавне набавке</w:t>
      </w:r>
      <w:r w:rsidR="007847E1">
        <w:rPr>
          <w:kern w:val="16"/>
          <w:lang w:val="sr-Cyrl-RS"/>
        </w:rPr>
        <w:t xml:space="preserve">. </w:t>
      </w:r>
    </w:p>
    <w:p w:rsidR="007847E1" w:rsidRDefault="003F07F0" w:rsidP="00565B03">
      <w:pPr>
        <w:tabs>
          <w:tab w:val="left" w:pos="284"/>
        </w:tabs>
        <w:jc w:val="both"/>
        <w:rPr>
          <w:kern w:val="16"/>
          <w:lang w:val="sr-Cyrl-RS"/>
        </w:rPr>
      </w:pPr>
      <w:r>
        <w:rPr>
          <w:kern w:val="16"/>
          <w:lang w:val="sr-Cyrl-RS"/>
        </w:rPr>
        <w:tab/>
        <w:t>Наручилац је у конкурсној документацији</w:t>
      </w:r>
      <w:r w:rsidR="007847E1">
        <w:rPr>
          <w:kern w:val="16"/>
          <w:lang w:val="sr-Cyrl-RS"/>
        </w:rPr>
        <w:t xml:space="preserve"> одредио елемент крите</w:t>
      </w:r>
      <w:r>
        <w:rPr>
          <w:kern w:val="16"/>
          <w:lang w:val="sr-Cyrl-RS"/>
        </w:rPr>
        <w:t>ријума за доделу уговора најнижа понуђена цена</w:t>
      </w:r>
      <w:r w:rsidR="003A348D">
        <w:rPr>
          <w:kern w:val="16"/>
          <w:lang w:val="sr-Cyrl-RS"/>
        </w:rPr>
        <w:t>, а не економски најповољнија понуда</w:t>
      </w:r>
      <w:r w:rsidR="007847E1">
        <w:rPr>
          <w:kern w:val="16"/>
          <w:lang w:val="sr-Cyrl-RS"/>
        </w:rPr>
        <w:t xml:space="preserve">, тако да АОП 071 не представља један од елемената критеријума који се описује, вреднује и за који се наводи методологија </w:t>
      </w:r>
      <w:proofErr w:type="spellStart"/>
      <w:r w:rsidR="007847E1">
        <w:rPr>
          <w:kern w:val="16"/>
          <w:lang w:val="sr-Cyrl-RS"/>
        </w:rPr>
        <w:t>пондера</w:t>
      </w:r>
      <w:proofErr w:type="spellEnd"/>
      <w:r w:rsidR="007847E1">
        <w:rPr>
          <w:kern w:val="16"/>
          <w:lang w:val="sr-Cyrl-RS"/>
        </w:rPr>
        <w:t xml:space="preserve">, већ представља други </w:t>
      </w:r>
      <w:r>
        <w:rPr>
          <w:kern w:val="16"/>
          <w:lang w:val="sr-Cyrl-RS"/>
        </w:rPr>
        <w:t>рез</w:t>
      </w:r>
      <w:r w:rsidR="007847E1">
        <w:rPr>
          <w:kern w:val="16"/>
          <w:lang w:val="sr-Cyrl-RS"/>
        </w:rPr>
        <w:t>ервни елемент критеријума за доделу уговора у случају да два или више понуђача понуде исту најнижу понуђену цену или најдужи рок плаћања.</w:t>
      </w:r>
    </w:p>
    <w:p w:rsidR="00FC01D0" w:rsidRDefault="003F07F0" w:rsidP="00565B03">
      <w:pPr>
        <w:tabs>
          <w:tab w:val="left" w:pos="284"/>
        </w:tabs>
        <w:jc w:val="both"/>
        <w:rPr>
          <w:kern w:val="16"/>
          <w:lang w:val="sr-Cyrl-RS"/>
        </w:rPr>
      </w:pPr>
      <w:r>
        <w:rPr>
          <w:kern w:val="16"/>
          <w:lang w:val="sr-Cyrl-RS"/>
        </w:rPr>
        <w:tab/>
      </w:r>
      <w:r w:rsidR="00FC01D0">
        <w:rPr>
          <w:kern w:val="16"/>
          <w:lang w:val="sr-Cyrl-RS"/>
        </w:rPr>
        <w:t xml:space="preserve">Сматрамо да тај </w:t>
      </w:r>
      <w:r>
        <w:rPr>
          <w:kern w:val="16"/>
          <w:lang w:val="sr-Cyrl-RS"/>
        </w:rPr>
        <w:t>р</w:t>
      </w:r>
      <w:r w:rsidR="00FC01D0">
        <w:rPr>
          <w:kern w:val="16"/>
          <w:lang w:val="sr-Cyrl-RS"/>
        </w:rPr>
        <w:t xml:space="preserve">езервни елемент критеријума </w:t>
      </w:r>
      <w:r>
        <w:rPr>
          <w:kern w:val="16"/>
          <w:lang w:val="sr-Cyrl-RS"/>
        </w:rPr>
        <w:t>стоји у логичкој вези са предметом јавне набавке</w:t>
      </w:r>
      <w:r w:rsidR="00FC01D0">
        <w:rPr>
          <w:kern w:val="16"/>
          <w:lang w:val="sr-Cyrl-RS"/>
        </w:rPr>
        <w:t>, с обзиром на</w:t>
      </w:r>
      <w:r w:rsidR="00626B9F">
        <w:rPr>
          <w:kern w:val="16"/>
          <w:lang w:val="sr-Cyrl-RS"/>
        </w:rPr>
        <w:t xml:space="preserve"> вредност на коју се уговор закључује</w:t>
      </w:r>
      <w:r>
        <w:rPr>
          <w:kern w:val="16"/>
          <w:lang w:val="sr-Cyrl-RS"/>
        </w:rPr>
        <w:t>.</w:t>
      </w:r>
    </w:p>
    <w:p w:rsidR="007847E1" w:rsidRDefault="00AA65B0" w:rsidP="00565B03">
      <w:pPr>
        <w:tabs>
          <w:tab w:val="left" w:pos="284"/>
        </w:tabs>
        <w:jc w:val="both"/>
        <w:rPr>
          <w:kern w:val="16"/>
          <w:lang w:val="sr-Cyrl-RS"/>
        </w:rPr>
      </w:pPr>
      <w:r>
        <w:rPr>
          <w:kern w:val="16"/>
          <w:lang w:val="sr-Cyrl-RS"/>
        </w:rPr>
        <w:tab/>
        <w:t>С тим у вези н</w:t>
      </w:r>
      <w:bookmarkStart w:id="0" w:name="_GoBack"/>
      <w:bookmarkEnd w:id="0"/>
      <w:r w:rsidR="007847E1">
        <w:rPr>
          <w:kern w:val="16"/>
          <w:lang w:val="sr-Cyrl-RS"/>
        </w:rPr>
        <w:t xml:space="preserve">аручилац сматра да није повредио члан </w:t>
      </w:r>
      <w:r w:rsidR="003F07F0">
        <w:rPr>
          <w:kern w:val="16"/>
          <w:lang w:val="sr-Cyrl-RS"/>
        </w:rPr>
        <w:t xml:space="preserve">84. став 2. ЗЈН </w:t>
      </w:r>
      <w:r w:rsidR="007847E1">
        <w:rPr>
          <w:kern w:val="16"/>
          <w:lang w:val="sr-Cyrl-RS"/>
        </w:rPr>
        <w:t>и да други резервни критеријум није дискриминишући</w:t>
      </w:r>
      <w:r w:rsidR="003F07F0">
        <w:rPr>
          <w:kern w:val="16"/>
          <w:lang w:val="sr-Cyrl-RS"/>
        </w:rPr>
        <w:t>, као</w:t>
      </w:r>
      <w:r w:rsidR="007847E1">
        <w:rPr>
          <w:kern w:val="16"/>
          <w:lang w:val="sr-Cyrl-RS"/>
        </w:rPr>
        <w:t xml:space="preserve"> и да не ставља у неједнак положај понуђаче с обзиром да сва регистрована правна лица поседују АОП 071 који се проверава на основу званичног документа који издаје надлежна институција.</w:t>
      </w:r>
    </w:p>
    <w:p w:rsidR="00B6719B" w:rsidRDefault="00B6719B" w:rsidP="00565B03">
      <w:pPr>
        <w:tabs>
          <w:tab w:val="left" w:pos="284"/>
        </w:tabs>
        <w:jc w:val="both"/>
        <w:rPr>
          <w:kern w:val="16"/>
          <w:lang w:val="sr-Cyrl-RS"/>
        </w:rPr>
      </w:pPr>
    </w:p>
    <w:p w:rsidR="00B6719B" w:rsidRDefault="00B6719B" w:rsidP="00565B03">
      <w:pPr>
        <w:tabs>
          <w:tab w:val="left" w:pos="284"/>
        </w:tabs>
        <w:jc w:val="both"/>
        <w:rPr>
          <w:kern w:val="16"/>
          <w:lang w:val="sr-Latn-RS"/>
        </w:rPr>
      </w:pPr>
    </w:p>
    <w:p w:rsidR="00565B03" w:rsidRPr="00902ACD" w:rsidRDefault="00565B03" w:rsidP="00565B03">
      <w:pPr>
        <w:tabs>
          <w:tab w:val="left" w:pos="284"/>
        </w:tabs>
        <w:jc w:val="both"/>
        <w:rPr>
          <w:kern w:val="16"/>
          <w:lang w:val="sr-Latn-RS"/>
        </w:rPr>
      </w:pPr>
      <w:r w:rsidRPr="00197EB9">
        <w:rPr>
          <w:kern w:val="16"/>
          <w:highlight w:val="lightGray"/>
          <w:lang w:val="sr-Cyrl-RS"/>
        </w:rPr>
        <w:t>ПИТАЊЕ 3:</w:t>
      </w:r>
      <w:r>
        <w:rPr>
          <w:kern w:val="16"/>
          <w:lang w:val="sr-Cyrl-RS"/>
        </w:rPr>
        <w:t xml:space="preserve"> </w:t>
      </w:r>
      <w:r w:rsidR="009D2A00">
        <w:rPr>
          <w:kern w:val="16"/>
          <w:lang w:val="sr-Cyrl-RS"/>
        </w:rPr>
        <w:t>Позив за подношење понуда на порталу јавних набавки објављен је 29.06.2016. у 11:50, а у позиву за подношење понуда стоји да је достављање понуда</w:t>
      </w:r>
      <w:r w:rsidR="00E91E41">
        <w:rPr>
          <w:kern w:val="16"/>
          <w:lang w:val="sr-Cyrl-RS"/>
        </w:rPr>
        <w:t xml:space="preserve"> до 8.07.2016. до 11 часова. Ово је супротно члану 95. Закона о јавним набавкама. С обзиром да је реч о отвореном поступку дужни сте да за рок за достављање понуда дате минимум 30 дана од дана објављивања позива за подношење понуда. Уколико још данас не измените рок за подношење понуда, бићемо принуђени да поднесемо Захтев за заштиту права.</w:t>
      </w:r>
    </w:p>
    <w:p w:rsidR="00B6719B" w:rsidRDefault="00B6719B" w:rsidP="00565B03">
      <w:pPr>
        <w:tabs>
          <w:tab w:val="left" w:pos="284"/>
        </w:tabs>
        <w:jc w:val="both"/>
        <w:rPr>
          <w:kern w:val="16"/>
          <w:lang w:val="sr-Cyrl-RS"/>
        </w:rPr>
      </w:pPr>
    </w:p>
    <w:p w:rsidR="00143F5A" w:rsidRPr="00902ACD" w:rsidRDefault="00565B03" w:rsidP="00565B03">
      <w:pPr>
        <w:tabs>
          <w:tab w:val="left" w:pos="284"/>
        </w:tabs>
        <w:jc w:val="both"/>
        <w:rPr>
          <w:kern w:val="16"/>
          <w:lang w:val="sr-Cyrl-RS"/>
        </w:rPr>
      </w:pPr>
      <w:r w:rsidRPr="00463BAC">
        <w:rPr>
          <w:kern w:val="16"/>
          <w:highlight w:val="lightGray"/>
          <w:lang w:val="sr-Cyrl-RS"/>
        </w:rPr>
        <w:t>ОДГОВОР 3:</w:t>
      </w:r>
      <w:r w:rsidR="00C0023C">
        <w:rPr>
          <w:kern w:val="16"/>
          <w:lang w:val="sr-Cyrl-RS"/>
        </w:rPr>
        <w:t xml:space="preserve"> </w:t>
      </w:r>
      <w:r w:rsidR="00902ACD">
        <w:rPr>
          <w:kern w:val="16"/>
          <w:lang w:val="sr-Cyrl-RS"/>
        </w:rPr>
        <w:t>Дана 30.06.2016. године у 10:37 часова на Порталу јавних набавки објављен је нови Позив за подношење понуда у којем је исправљена техничка грешка коју сте навели. Истог дана позив је објављен и на интернет страници Министарства.</w:t>
      </w:r>
    </w:p>
    <w:p w:rsidR="00143F5A" w:rsidRPr="00143F5A" w:rsidRDefault="00143F5A" w:rsidP="00143F5A">
      <w:pPr>
        <w:tabs>
          <w:tab w:val="left" w:pos="284"/>
        </w:tabs>
        <w:ind w:left="720"/>
        <w:jc w:val="both"/>
        <w:rPr>
          <w:kern w:val="16"/>
        </w:rPr>
      </w:pPr>
    </w:p>
    <w:sectPr w:rsidR="00143F5A" w:rsidRPr="00143F5A" w:rsidSect="00824E55">
      <w:footerReference w:type="default" r:id="rId9"/>
      <w:pgSz w:w="11907" w:h="16839" w:code="9"/>
      <w:pgMar w:top="1304" w:right="1474"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D97" w:rsidRDefault="00FA3D97" w:rsidP="00572989">
      <w:r>
        <w:separator/>
      </w:r>
    </w:p>
  </w:endnote>
  <w:endnote w:type="continuationSeparator" w:id="0">
    <w:p w:rsidR="00FA3D97" w:rsidRDefault="00FA3D97" w:rsidP="005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TimesRoma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10324"/>
      <w:docPartObj>
        <w:docPartGallery w:val="Page Numbers (Bottom of Page)"/>
        <w:docPartUnique/>
      </w:docPartObj>
    </w:sdtPr>
    <w:sdtEndPr>
      <w:rPr>
        <w:noProof/>
      </w:rPr>
    </w:sdtEndPr>
    <w:sdtContent>
      <w:p w:rsidR="00572989" w:rsidRDefault="00572989">
        <w:pPr>
          <w:pStyle w:val="Footer"/>
          <w:jc w:val="right"/>
        </w:pPr>
        <w:r>
          <w:fldChar w:fldCharType="begin"/>
        </w:r>
        <w:r>
          <w:instrText xml:space="preserve"> PAGE   \* MERGEFORMAT </w:instrText>
        </w:r>
        <w:r>
          <w:fldChar w:fldCharType="separate"/>
        </w:r>
        <w:r w:rsidR="00AA65B0">
          <w:rPr>
            <w:noProof/>
          </w:rPr>
          <w:t>1</w:t>
        </w:r>
        <w:r>
          <w:rPr>
            <w:noProof/>
          </w:rPr>
          <w:fldChar w:fldCharType="end"/>
        </w:r>
      </w:p>
    </w:sdtContent>
  </w:sdt>
  <w:p w:rsidR="00572989" w:rsidRDefault="0057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D97" w:rsidRDefault="00FA3D97" w:rsidP="00572989">
      <w:r>
        <w:separator/>
      </w:r>
    </w:p>
  </w:footnote>
  <w:footnote w:type="continuationSeparator" w:id="0">
    <w:p w:rsidR="00FA3D97" w:rsidRDefault="00FA3D97" w:rsidP="0057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63421"/>
    <w:multiLevelType w:val="hybridMultilevel"/>
    <w:tmpl w:val="19508B9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5B42299F"/>
    <w:multiLevelType w:val="hybridMultilevel"/>
    <w:tmpl w:val="330CC1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5A"/>
    <w:rsid w:val="000103C8"/>
    <w:rsid w:val="00012C86"/>
    <w:rsid w:val="00040987"/>
    <w:rsid w:val="00050A9F"/>
    <w:rsid w:val="00054CFD"/>
    <w:rsid w:val="00067AC3"/>
    <w:rsid w:val="0007367B"/>
    <w:rsid w:val="000826C4"/>
    <w:rsid w:val="000C4B2B"/>
    <w:rsid w:val="000F55D7"/>
    <w:rsid w:val="00133744"/>
    <w:rsid w:val="00143F5A"/>
    <w:rsid w:val="00145DDF"/>
    <w:rsid w:val="001677A4"/>
    <w:rsid w:val="00173FDD"/>
    <w:rsid w:val="00190FBE"/>
    <w:rsid w:val="00193C11"/>
    <w:rsid w:val="00197EB9"/>
    <w:rsid w:val="0024056B"/>
    <w:rsid w:val="00272FF6"/>
    <w:rsid w:val="00280FC0"/>
    <w:rsid w:val="00285E6F"/>
    <w:rsid w:val="00295DC0"/>
    <w:rsid w:val="002A372B"/>
    <w:rsid w:val="002B440D"/>
    <w:rsid w:val="002B7620"/>
    <w:rsid w:val="002C75A8"/>
    <w:rsid w:val="002E5754"/>
    <w:rsid w:val="002F23D0"/>
    <w:rsid w:val="00325466"/>
    <w:rsid w:val="00330D1D"/>
    <w:rsid w:val="00357D8D"/>
    <w:rsid w:val="003600C0"/>
    <w:rsid w:val="003A348D"/>
    <w:rsid w:val="003B3B19"/>
    <w:rsid w:val="003F07F0"/>
    <w:rsid w:val="00453EE2"/>
    <w:rsid w:val="00463BAC"/>
    <w:rsid w:val="00471246"/>
    <w:rsid w:val="004B26A5"/>
    <w:rsid w:val="004B4617"/>
    <w:rsid w:val="0053029A"/>
    <w:rsid w:val="005431FF"/>
    <w:rsid w:val="005529EC"/>
    <w:rsid w:val="00565B03"/>
    <w:rsid w:val="005700B8"/>
    <w:rsid w:val="00572989"/>
    <w:rsid w:val="0057601C"/>
    <w:rsid w:val="00576D32"/>
    <w:rsid w:val="005853A9"/>
    <w:rsid w:val="00593881"/>
    <w:rsid w:val="005A0EF1"/>
    <w:rsid w:val="005B1A43"/>
    <w:rsid w:val="005D33A9"/>
    <w:rsid w:val="005D3F10"/>
    <w:rsid w:val="005D78C6"/>
    <w:rsid w:val="005E3604"/>
    <w:rsid w:val="005F0208"/>
    <w:rsid w:val="005F6DE0"/>
    <w:rsid w:val="006103AD"/>
    <w:rsid w:val="00626B9F"/>
    <w:rsid w:val="00670497"/>
    <w:rsid w:val="00676F91"/>
    <w:rsid w:val="006A4D8F"/>
    <w:rsid w:val="006A6A36"/>
    <w:rsid w:val="006B39C6"/>
    <w:rsid w:val="006C7C32"/>
    <w:rsid w:val="006D221F"/>
    <w:rsid w:val="006D3A09"/>
    <w:rsid w:val="00721F09"/>
    <w:rsid w:val="007643FE"/>
    <w:rsid w:val="007835BA"/>
    <w:rsid w:val="007847E1"/>
    <w:rsid w:val="007937C0"/>
    <w:rsid w:val="007C070D"/>
    <w:rsid w:val="007C416F"/>
    <w:rsid w:val="007C7576"/>
    <w:rsid w:val="007E5AF7"/>
    <w:rsid w:val="007F42C5"/>
    <w:rsid w:val="00804ED9"/>
    <w:rsid w:val="00813608"/>
    <w:rsid w:val="00824E55"/>
    <w:rsid w:val="00831BD1"/>
    <w:rsid w:val="00871381"/>
    <w:rsid w:val="008C4572"/>
    <w:rsid w:val="008E41D5"/>
    <w:rsid w:val="00902ACD"/>
    <w:rsid w:val="00931D55"/>
    <w:rsid w:val="009320D7"/>
    <w:rsid w:val="00933633"/>
    <w:rsid w:val="00967321"/>
    <w:rsid w:val="009954C2"/>
    <w:rsid w:val="00997392"/>
    <w:rsid w:val="009C1565"/>
    <w:rsid w:val="009D2A00"/>
    <w:rsid w:val="009F2F78"/>
    <w:rsid w:val="00A14C24"/>
    <w:rsid w:val="00A163AF"/>
    <w:rsid w:val="00A64272"/>
    <w:rsid w:val="00AA5167"/>
    <w:rsid w:val="00AA65B0"/>
    <w:rsid w:val="00AC4EE1"/>
    <w:rsid w:val="00B464D8"/>
    <w:rsid w:val="00B6719B"/>
    <w:rsid w:val="00BE37F0"/>
    <w:rsid w:val="00BE73BB"/>
    <w:rsid w:val="00C0023C"/>
    <w:rsid w:val="00C3286C"/>
    <w:rsid w:val="00C63729"/>
    <w:rsid w:val="00C85AFF"/>
    <w:rsid w:val="00C8675B"/>
    <w:rsid w:val="00C91391"/>
    <w:rsid w:val="00CC023F"/>
    <w:rsid w:val="00D0577B"/>
    <w:rsid w:val="00D12690"/>
    <w:rsid w:val="00D441BF"/>
    <w:rsid w:val="00D779A8"/>
    <w:rsid w:val="00DB491A"/>
    <w:rsid w:val="00DC363C"/>
    <w:rsid w:val="00DD2728"/>
    <w:rsid w:val="00DF7050"/>
    <w:rsid w:val="00DF755D"/>
    <w:rsid w:val="00E91E41"/>
    <w:rsid w:val="00EB41A7"/>
    <w:rsid w:val="00EB41B0"/>
    <w:rsid w:val="00EE471F"/>
    <w:rsid w:val="00F052B5"/>
    <w:rsid w:val="00F5123D"/>
    <w:rsid w:val="00FA3D97"/>
    <w:rsid w:val="00FA4C1F"/>
    <w:rsid w:val="00FC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0523C-4B6A-47E8-B596-2EE86D90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01C"/>
    <w:rPr>
      <w:rFonts w:ascii="Tahoma" w:hAnsi="Tahoma" w:cs="Tahoma"/>
      <w:sz w:val="16"/>
      <w:szCs w:val="16"/>
    </w:rPr>
  </w:style>
  <w:style w:type="character" w:customStyle="1" w:styleId="BalloonTextChar">
    <w:name w:val="Balloon Text Char"/>
    <w:basedOn w:val="DefaultParagraphFont"/>
    <w:link w:val="BalloonText"/>
    <w:uiPriority w:val="99"/>
    <w:semiHidden/>
    <w:rsid w:val="0057601C"/>
    <w:rPr>
      <w:rFonts w:ascii="Tahoma" w:hAnsi="Tahoma" w:cs="Tahoma"/>
      <w:sz w:val="16"/>
      <w:szCs w:val="16"/>
    </w:rPr>
  </w:style>
  <w:style w:type="paragraph" w:styleId="Header">
    <w:name w:val="header"/>
    <w:basedOn w:val="Normal"/>
    <w:link w:val="HeaderChar"/>
    <w:uiPriority w:val="99"/>
    <w:unhideWhenUsed/>
    <w:rsid w:val="00572989"/>
    <w:pPr>
      <w:tabs>
        <w:tab w:val="center" w:pos="4680"/>
        <w:tab w:val="right" w:pos="9360"/>
      </w:tabs>
    </w:pPr>
  </w:style>
  <w:style w:type="character" w:customStyle="1" w:styleId="HeaderChar">
    <w:name w:val="Header Char"/>
    <w:basedOn w:val="DefaultParagraphFont"/>
    <w:link w:val="Header"/>
    <w:uiPriority w:val="99"/>
    <w:rsid w:val="00572989"/>
    <w:rPr>
      <w:rFonts w:ascii="Times New Roman" w:hAnsi="Times New Roman" w:cs="Times New Roman"/>
      <w:sz w:val="24"/>
      <w:szCs w:val="24"/>
    </w:rPr>
  </w:style>
  <w:style w:type="paragraph" w:styleId="Footer">
    <w:name w:val="footer"/>
    <w:basedOn w:val="Normal"/>
    <w:link w:val="FooterChar"/>
    <w:uiPriority w:val="99"/>
    <w:unhideWhenUsed/>
    <w:rsid w:val="00572989"/>
    <w:pPr>
      <w:tabs>
        <w:tab w:val="center" w:pos="4680"/>
        <w:tab w:val="right" w:pos="9360"/>
      </w:tabs>
    </w:pPr>
  </w:style>
  <w:style w:type="character" w:customStyle="1" w:styleId="FooterChar">
    <w:name w:val="Footer Char"/>
    <w:basedOn w:val="DefaultParagraphFont"/>
    <w:link w:val="Footer"/>
    <w:uiPriority w:val="99"/>
    <w:rsid w:val="00572989"/>
    <w:rPr>
      <w:rFonts w:ascii="Times New Roman" w:hAnsi="Times New Roman" w:cs="Times New Roman"/>
      <w:sz w:val="24"/>
      <w:szCs w:val="24"/>
    </w:rPr>
  </w:style>
  <w:style w:type="character" w:styleId="Hyperlink">
    <w:name w:val="Hyperlink"/>
    <w:basedOn w:val="DefaultParagraphFont"/>
    <w:uiPriority w:val="99"/>
    <w:unhideWhenUsed/>
    <w:rsid w:val="007937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4015">
      <w:bodyDiv w:val="1"/>
      <w:marLeft w:val="0"/>
      <w:marRight w:val="0"/>
      <w:marTop w:val="0"/>
      <w:marBottom w:val="0"/>
      <w:divBdr>
        <w:top w:val="none" w:sz="0" w:space="0" w:color="auto"/>
        <w:left w:val="none" w:sz="0" w:space="0" w:color="auto"/>
        <w:bottom w:val="none" w:sz="0" w:space="0" w:color="auto"/>
        <w:right w:val="none" w:sz="0" w:space="0" w:color="auto"/>
      </w:divBdr>
    </w:div>
    <w:div w:id="1047408899">
      <w:bodyDiv w:val="1"/>
      <w:marLeft w:val="0"/>
      <w:marRight w:val="0"/>
      <w:marTop w:val="0"/>
      <w:marBottom w:val="0"/>
      <w:divBdr>
        <w:top w:val="none" w:sz="0" w:space="0" w:color="auto"/>
        <w:left w:val="none" w:sz="0" w:space="0" w:color="auto"/>
        <w:bottom w:val="none" w:sz="0" w:space="0" w:color="auto"/>
        <w:right w:val="none" w:sz="0" w:space="0" w:color="auto"/>
      </w:divBdr>
    </w:div>
    <w:div w:id="2074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0271-0BB9-40F9-8051-186DC642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jasmina.blagojevic</dc:creator>
  <cp:keywords/>
  <dc:description/>
  <cp:lastModifiedBy>Korisnik</cp:lastModifiedBy>
  <cp:revision>401</cp:revision>
  <cp:lastPrinted>2016-07-04T13:33:00Z</cp:lastPrinted>
  <dcterms:created xsi:type="dcterms:W3CDTF">2015-12-09T10:28:00Z</dcterms:created>
  <dcterms:modified xsi:type="dcterms:W3CDTF">2016-07-04T13:38:00Z</dcterms:modified>
</cp:coreProperties>
</file>